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F5" w:rsidRDefault="007A64F5" w:rsidP="00C311CD">
      <w:pPr>
        <w:spacing w:after="0" w:line="240" w:lineRule="auto"/>
        <w:ind w:left="630" w:hanging="630"/>
        <w:jc w:val="both"/>
        <w:rPr>
          <w:rFonts w:ascii="Arial" w:eastAsia="Calibri" w:hAnsi="Arial" w:cs="Arial"/>
          <w:b/>
          <w:szCs w:val="24"/>
        </w:rPr>
      </w:pPr>
      <w:r>
        <w:rPr>
          <w:rFonts w:ascii="Arial" w:hAnsi="Arial" w:cs="Arial"/>
          <w:noProof/>
          <w:sz w:val="24"/>
          <w:szCs w:val="24"/>
          <w:lang w:bidi="hi-IN"/>
        </w:rPr>
        <w:drawing>
          <wp:inline distT="0" distB="0" distL="0" distR="0">
            <wp:extent cx="5732145" cy="1529700"/>
            <wp:effectExtent l="19050" t="0" r="1905" b="0"/>
            <wp:docPr id="1" name="Picture 3" descr="Letter He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 Head.bmp"/>
                    <pic:cNvPicPr>
                      <a:picLocks noChangeAspect="1" noChangeArrowheads="1"/>
                    </pic:cNvPicPr>
                  </pic:nvPicPr>
                  <pic:blipFill>
                    <a:blip r:embed="rId8"/>
                    <a:srcRect/>
                    <a:stretch>
                      <a:fillRect/>
                    </a:stretch>
                  </pic:blipFill>
                  <pic:spPr bwMode="auto">
                    <a:xfrm>
                      <a:off x="0" y="0"/>
                      <a:ext cx="5732145" cy="1529700"/>
                    </a:xfrm>
                    <a:prstGeom prst="rect">
                      <a:avLst/>
                    </a:prstGeom>
                    <a:noFill/>
                    <a:ln w="9525">
                      <a:noFill/>
                      <a:miter lim="800000"/>
                      <a:headEnd/>
                      <a:tailEnd/>
                    </a:ln>
                  </pic:spPr>
                </pic:pic>
              </a:graphicData>
            </a:graphic>
          </wp:inline>
        </w:drawing>
      </w:r>
    </w:p>
    <w:p w:rsidR="007A64F5" w:rsidRPr="00A916E2" w:rsidRDefault="007A64F5" w:rsidP="007A64F5">
      <w:pPr>
        <w:rPr>
          <w:b/>
          <w:sz w:val="21"/>
          <w:szCs w:val="21"/>
        </w:rPr>
      </w:pPr>
      <w:r w:rsidRPr="00A916E2">
        <w:rPr>
          <w:b/>
          <w:sz w:val="21"/>
          <w:szCs w:val="21"/>
        </w:rPr>
        <w:t xml:space="preserve">No. </w:t>
      </w:r>
      <w:r w:rsidR="00A916E2" w:rsidRPr="00A916E2">
        <w:rPr>
          <w:b/>
          <w:sz w:val="21"/>
          <w:szCs w:val="21"/>
        </w:rPr>
        <w:t>GS/</w:t>
      </w:r>
      <w:r w:rsidRPr="00A916E2">
        <w:rPr>
          <w:b/>
          <w:sz w:val="21"/>
          <w:szCs w:val="21"/>
        </w:rPr>
        <w:t>AIGETOA</w:t>
      </w:r>
      <w:r w:rsidR="00A916E2" w:rsidRPr="00A916E2">
        <w:rPr>
          <w:b/>
          <w:sz w:val="21"/>
          <w:szCs w:val="21"/>
        </w:rPr>
        <w:t xml:space="preserve"> </w:t>
      </w:r>
      <w:r w:rsidRPr="00A916E2">
        <w:rPr>
          <w:b/>
          <w:sz w:val="21"/>
          <w:szCs w:val="21"/>
        </w:rPr>
        <w:t>/2017/</w:t>
      </w:r>
      <w:r w:rsidR="00D34E66" w:rsidRPr="00A916E2">
        <w:rPr>
          <w:b/>
          <w:sz w:val="21"/>
          <w:szCs w:val="21"/>
        </w:rPr>
        <w:t>23</w:t>
      </w:r>
      <w:r w:rsidRPr="00A916E2">
        <w:rPr>
          <w:b/>
          <w:sz w:val="21"/>
          <w:szCs w:val="21"/>
        </w:rPr>
        <w:tab/>
      </w:r>
      <w:r w:rsidRPr="00A916E2">
        <w:rPr>
          <w:b/>
          <w:sz w:val="21"/>
          <w:szCs w:val="21"/>
        </w:rPr>
        <w:tab/>
      </w:r>
      <w:r w:rsidRPr="00A916E2">
        <w:rPr>
          <w:b/>
          <w:sz w:val="21"/>
          <w:szCs w:val="21"/>
        </w:rPr>
        <w:tab/>
      </w:r>
      <w:r w:rsidRPr="00A916E2">
        <w:rPr>
          <w:b/>
          <w:sz w:val="21"/>
          <w:szCs w:val="21"/>
        </w:rPr>
        <w:tab/>
        <w:t xml:space="preserve">   </w:t>
      </w:r>
      <w:r w:rsidR="00A916E2" w:rsidRPr="00A916E2">
        <w:rPr>
          <w:b/>
          <w:sz w:val="21"/>
          <w:szCs w:val="21"/>
        </w:rPr>
        <w:tab/>
      </w:r>
      <w:r w:rsidR="00A916E2">
        <w:rPr>
          <w:b/>
          <w:sz w:val="21"/>
          <w:szCs w:val="21"/>
        </w:rPr>
        <w:tab/>
      </w:r>
      <w:r w:rsidR="00A916E2">
        <w:rPr>
          <w:b/>
          <w:sz w:val="21"/>
          <w:szCs w:val="21"/>
        </w:rPr>
        <w:tab/>
      </w:r>
      <w:r w:rsidRPr="00A916E2">
        <w:rPr>
          <w:b/>
          <w:sz w:val="21"/>
          <w:szCs w:val="21"/>
        </w:rPr>
        <w:t>Dated:  15-09-2017</w:t>
      </w:r>
    </w:p>
    <w:p w:rsidR="00C311CD" w:rsidRPr="00A916E2" w:rsidRDefault="00C311CD" w:rsidP="00C311CD">
      <w:pPr>
        <w:spacing w:after="0" w:line="240" w:lineRule="auto"/>
        <w:ind w:left="630" w:hanging="630"/>
        <w:jc w:val="both"/>
        <w:rPr>
          <w:rFonts w:eastAsia="Calibri" w:cs="Arial"/>
          <w:b/>
          <w:sz w:val="21"/>
          <w:szCs w:val="21"/>
        </w:rPr>
      </w:pPr>
      <w:r w:rsidRPr="00A916E2">
        <w:rPr>
          <w:rFonts w:eastAsia="Calibri" w:cs="Arial"/>
          <w:b/>
          <w:sz w:val="21"/>
          <w:szCs w:val="21"/>
        </w:rPr>
        <w:t>To</w:t>
      </w:r>
    </w:p>
    <w:p w:rsidR="00A916E2" w:rsidRPr="00A916E2" w:rsidRDefault="00C311CD" w:rsidP="00C311CD">
      <w:pPr>
        <w:spacing w:after="0" w:line="240" w:lineRule="auto"/>
        <w:ind w:left="630" w:hanging="630"/>
        <w:jc w:val="both"/>
        <w:rPr>
          <w:rFonts w:eastAsia="Calibri" w:cs="Arial"/>
          <w:b/>
          <w:sz w:val="21"/>
          <w:szCs w:val="21"/>
        </w:rPr>
      </w:pPr>
      <w:r w:rsidRPr="00A916E2">
        <w:rPr>
          <w:rFonts w:eastAsia="Calibri" w:cs="Arial"/>
          <w:b/>
          <w:sz w:val="21"/>
          <w:szCs w:val="21"/>
        </w:rPr>
        <w:t xml:space="preserve">Director (HR), </w:t>
      </w:r>
    </w:p>
    <w:p w:rsidR="00C311CD" w:rsidRPr="00A916E2" w:rsidRDefault="00C311CD" w:rsidP="00C311CD">
      <w:pPr>
        <w:spacing w:after="0" w:line="240" w:lineRule="auto"/>
        <w:ind w:left="630" w:hanging="630"/>
        <w:jc w:val="both"/>
        <w:rPr>
          <w:rFonts w:eastAsia="Calibri" w:cs="Arial"/>
          <w:b/>
          <w:sz w:val="21"/>
          <w:szCs w:val="21"/>
        </w:rPr>
      </w:pPr>
      <w:r w:rsidRPr="00A916E2">
        <w:rPr>
          <w:rFonts w:eastAsia="Calibri" w:cs="Arial"/>
          <w:b/>
          <w:sz w:val="21"/>
          <w:szCs w:val="21"/>
        </w:rPr>
        <w:t>BSNL Board</w:t>
      </w:r>
    </w:p>
    <w:p w:rsidR="00C311CD" w:rsidRPr="00A916E2" w:rsidRDefault="00C311CD" w:rsidP="00C311CD">
      <w:pPr>
        <w:spacing w:after="0" w:line="240" w:lineRule="auto"/>
        <w:ind w:left="630" w:hanging="630"/>
        <w:jc w:val="both"/>
        <w:rPr>
          <w:rFonts w:eastAsia="Calibri" w:cs="Arial"/>
          <w:b/>
          <w:sz w:val="21"/>
          <w:szCs w:val="21"/>
        </w:rPr>
      </w:pPr>
      <w:r w:rsidRPr="00A916E2">
        <w:rPr>
          <w:rFonts w:eastAsia="Calibri" w:cs="Arial"/>
          <w:b/>
          <w:sz w:val="21"/>
          <w:szCs w:val="21"/>
        </w:rPr>
        <w:t>BSNL Corporate Office</w:t>
      </w:r>
    </w:p>
    <w:p w:rsidR="00C311CD" w:rsidRPr="00A916E2" w:rsidRDefault="00C311CD" w:rsidP="00C311CD">
      <w:pPr>
        <w:spacing w:after="0" w:line="240" w:lineRule="auto"/>
        <w:ind w:left="630" w:hanging="630"/>
        <w:jc w:val="both"/>
        <w:rPr>
          <w:rFonts w:eastAsia="Calibri" w:cs="Arial"/>
          <w:b/>
          <w:sz w:val="21"/>
          <w:szCs w:val="21"/>
        </w:rPr>
      </w:pPr>
      <w:r w:rsidRPr="00A916E2">
        <w:rPr>
          <w:rFonts w:eastAsia="Calibri" w:cs="Arial"/>
          <w:b/>
          <w:sz w:val="21"/>
          <w:szCs w:val="21"/>
        </w:rPr>
        <w:t>New Delhi</w:t>
      </w:r>
    </w:p>
    <w:p w:rsidR="00C311CD" w:rsidRPr="00A916E2" w:rsidRDefault="00C311CD" w:rsidP="00C311CD">
      <w:pPr>
        <w:spacing w:after="0" w:line="240" w:lineRule="auto"/>
        <w:ind w:left="630" w:hanging="630"/>
        <w:jc w:val="both"/>
        <w:rPr>
          <w:rFonts w:eastAsia="Calibri" w:cs="Arial"/>
          <w:sz w:val="21"/>
          <w:szCs w:val="21"/>
        </w:rPr>
      </w:pPr>
    </w:p>
    <w:p w:rsidR="00C311CD" w:rsidRPr="00A916E2" w:rsidRDefault="00C311CD" w:rsidP="00A916E2">
      <w:pPr>
        <w:spacing w:after="0" w:line="240" w:lineRule="auto"/>
        <w:ind w:left="450" w:hanging="450"/>
        <w:jc w:val="both"/>
        <w:rPr>
          <w:rFonts w:eastAsia="Calibri" w:cs="Arial"/>
          <w:b/>
          <w:sz w:val="21"/>
          <w:szCs w:val="21"/>
        </w:rPr>
      </w:pPr>
      <w:r w:rsidRPr="00A916E2">
        <w:rPr>
          <w:rFonts w:eastAsia="Calibri" w:cs="Arial"/>
          <w:b/>
          <w:sz w:val="21"/>
          <w:szCs w:val="21"/>
        </w:rPr>
        <w:t>Sub: Submissions with regard to the BSNL’s proposal for implementation of revision of pay as per 3</w:t>
      </w:r>
      <w:r w:rsidRPr="00A916E2">
        <w:rPr>
          <w:rFonts w:eastAsia="Calibri" w:cs="Arial"/>
          <w:b/>
          <w:sz w:val="21"/>
          <w:szCs w:val="21"/>
          <w:vertAlign w:val="superscript"/>
        </w:rPr>
        <w:t>rd</w:t>
      </w:r>
      <w:r w:rsidRPr="00A916E2">
        <w:rPr>
          <w:rFonts w:eastAsia="Calibri" w:cs="Arial"/>
          <w:b/>
          <w:sz w:val="21"/>
          <w:szCs w:val="21"/>
        </w:rPr>
        <w:t xml:space="preserve"> PRC w.e.f. 01.01.2017.</w:t>
      </w:r>
    </w:p>
    <w:p w:rsidR="00C311CD" w:rsidRPr="00A916E2" w:rsidRDefault="00C311CD" w:rsidP="00C311CD">
      <w:pPr>
        <w:spacing w:after="0" w:line="240" w:lineRule="auto"/>
        <w:ind w:left="630" w:hanging="630"/>
        <w:jc w:val="both"/>
        <w:rPr>
          <w:rFonts w:eastAsia="Calibri" w:cs="Arial"/>
          <w:sz w:val="21"/>
          <w:szCs w:val="21"/>
        </w:rPr>
      </w:pPr>
    </w:p>
    <w:p w:rsidR="00C311CD" w:rsidRPr="00A916E2" w:rsidRDefault="00C311CD" w:rsidP="00C311CD">
      <w:pPr>
        <w:spacing w:after="0" w:line="240" w:lineRule="auto"/>
        <w:ind w:left="630" w:hanging="630"/>
        <w:jc w:val="both"/>
        <w:rPr>
          <w:rFonts w:eastAsia="Calibri" w:cs="Arial"/>
          <w:sz w:val="21"/>
          <w:szCs w:val="21"/>
        </w:rPr>
      </w:pPr>
      <w:r w:rsidRPr="00A916E2">
        <w:rPr>
          <w:rFonts w:eastAsia="Calibri" w:cs="Arial"/>
          <w:sz w:val="21"/>
          <w:szCs w:val="21"/>
        </w:rPr>
        <w:t>Respected Madam,</w:t>
      </w:r>
    </w:p>
    <w:p w:rsidR="00C311CD" w:rsidRPr="00A916E2" w:rsidRDefault="00C311CD" w:rsidP="00C311CD">
      <w:pPr>
        <w:spacing w:after="0" w:line="240" w:lineRule="auto"/>
        <w:ind w:left="630" w:hanging="180"/>
        <w:jc w:val="both"/>
        <w:rPr>
          <w:rFonts w:eastAsia="Calibri" w:cs="Arial"/>
          <w:sz w:val="21"/>
          <w:szCs w:val="21"/>
        </w:rPr>
      </w:pPr>
    </w:p>
    <w:p w:rsidR="00C311CD" w:rsidRPr="00A916E2" w:rsidRDefault="00C311CD" w:rsidP="00A916E2">
      <w:pPr>
        <w:spacing w:after="0"/>
        <w:jc w:val="both"/>
        <w:rPr>
          <w:rFonts w:eastAsia="Calibri" w:cs="Arial"/>
          <w:sz w:val="21"/>
          <w:szCs w:val="21"/>
        </w:rPr>
      </w:pPr>
      <w:r w:rsidRPr="00A916E2">
        <w:rPr>
          <w:rFonts w:eastAsia="Calibri" w:cs="Arial"/>
          <w:sz w:val="21"/>
          <w:szCs w:val="21"/>
        </w:rPr>
        <w:tab/>
        <w:t xml:space="preserve">Your kind attention is invited to the ongoing issue of BSNL’s proposal for implementation of revision of pay as per 3rd PRC w.e.f. 01.01.2017. It is learnt that BSNL Management has already send its views to DOT with regard to grant of 15% fitment benefit for pay revision. Now, after the DPE notification dated 03.08.2017, a </w:t>
      </w:r>
      <w:r w:rsidR="00A916E2" w:rsidRPr="00A916E2">
        <w:rPr>
          <w:rFonts w:eastAsia="Calibri" w:cs="Arial"/>
          <w:sz w:val="21"/>
          <w:szCs w:val="21"/>
        </w:rPr>
        <w:t>c</w:t>
      </w:r>
      <w:r w:rsidRPr="00A916E2">
        <w:rPr>
          <w:rFonts w:eastAsia="Calibri" w:cs="Arial"/>
          <w:sz w:val="21"/>
          <w:szCs w:val="21"/>
        </w:rPr>
        <w:t>ommittee has been constituted to explore the modalities for implementation of revision of pay</w:t>
      </w:r>
      <w:r w:rsidR="0082172E" w:rsidRPr="00A916E2">
        <w:rPr>
          <w:rFonts w:eastAsia="Calibri" w:cs="Arial"/>
          <w:sz w:val="21"/>
          <w:szCs w:val="21"/>
        </w:rPr>
        <w:t xml:space="preserve"> as per 3</w:t>
      </w:r>
      <w:r w:rsidR="0082172E" w:rsidRPr="00A916E2">
        <w:rPr>
          <w:rFonts w:eastAsia="Calibri" w:cs="Arial"/>
          <w:sz w:val="21"/>
          <w:szCs w:val="21"/>
          <w:vertAlign w:val="superscript"/>
        </w:rPr>
        <w:t>rd</w:t>
      </w:r>
      <w:r w:rsidR="0082172E" w:rsidRPr="00A916E2">
        <w:rPr>
          <w:rFonts w:eastAsia="Calibri" w:cs="Arial"/>
          <w:sz w:val="21"/>
          <w:szCs w:val="21"/>
        </w:rPr>
        <w:t xml:space="preserve"> PRC</w:t>
      </w:r>
      <w:r w:rsidRPr="00A916E2">
        <w:rPr>
          <w:rFonts w:eastAsia="Calibri" w:cs="Arial"/>
          <w:sz w:val="21"/>
          <w:szCs w:val="21"/>
        </w:rPr>
        <w:t>. The Committee is expected to submit its recommendations shortly.</w:t>
      </w:r>
    </w:p>
    <w:p w:rsidR="00575FF3" w:rsidRPr="00A916E2" w:rsidRDefault="00C311CD" w:rsidP="00C311CD">
      <w:pPr>
        <w:spacing w:before="240" w:after="0"/>
        <w:jc w:val="both"/>
        <w:rPr>
          <w:rFonts w:eastAsia="Calibri" w:cs="Arial"/>
          <w:sz w:val="21"/>
          <w:szCs w:val="21"/>
        </w:rPr>
      </w:pPr>
      <w:r w:rsidRPr="00A916E2">
        <w:rPr>
          <w:rFonts w:eastAsia="Calibri" w:cs="Arial"/>
          <w:sz w:val="21"/>
          <w:szCs w:val="21"/>
        </w:rPr>
        <w:t>2.</w:t>
      </w:r>
      <w:r w:rsidRPr="00A916E2">
        <w:rPr>
          <w:rFonts w:eastAsia="Calibri" w:cs="Arial"/>
          <w:sz w:val="21"/>
          <w:szCs w:val="21"/>
        </w:rPr>
        <w:tab/>
        <w:t>In this regard, it is to reiterate th</w:t>
      </w:r>
      <w:r w:rsidR="00CB437F" w:rsidRPr="00A916E2">
        <w:rPr>
          <w:rFonts w:eastAsia="Calibri" w:cs="Arial"/>
          <w:sz w:val="21"/>
          <w:szCs w:val="21"/>
        </w:rPr>
        <w:t xml:space="preserve">e </w:t>
      </w:r>
      <w:r w:rsidRPr="00A916E2">
        <w:rPr>
          <w:rFonts w:eastAsia="Calibri" w:cs="Arial"/>
          <w:sz w:val="21"/>
          <w:szCs w:val="21"/>
        </w:rPr>
        <w:t>stand of AIGETOA that before implementation of 3</w:t>
      </w:r>
      <w:r w:rsidRPr="00A916E2">
        <w:rPr>
          <w:rFonts w:eastAsia="Calibri" w:cs="Arial"/>
          <w:sz w:val="21"/>
          <w:szCs w:val="21"/>
          <w:vertAlign w:val="superscript"/>
        </w:rPr>
        <w:t>rd</w:t>
      </w:r>
      <w:r w:rsidRPr="00A916E2">
        <w:rPr>
          <w:rFonts w:eastAsia="Calibri" w:cs="Arial"/>
          <w:sz w:val="21"/>
          <w:szCs w:val="21"/>
        </w:rPr>
        <w:t xml:space="preserve"> PRC, BSNL </w:t>
      </w:r>
      <w:r w:rsidR="00E65059" w:rsidRPr="00A916E2">
        <w:rPr>
          <w:rFonts w:eastAsia="Calibri" w:cs="Arial"/>
          <w:sz w:val="21"/>
          <w:szCs w:val="21"/>
        </w:rPr>
        <w:t>must resolve</w:t>
      </w:r>
      <w:r w:rsidRPr="00A916E2">
        <w:rPr>
          <w:rFonts w:eastAsia="Calibri" w:cs="Arial"/>
          <w:sz w:val="21"/>
          <w:szCs w:val="21"/>
        </w:rPr>
        <w:t xml:space="preserve"> all the </w:t>
      </w:r>
      <w:r w:rsidR="00575FF3" w:rsidRPr="00A916E2">
        <w:rPr>
          <w:rFonts w:eastAsia="Calibri" w:cs="Arial"/>
          <w:sz w:val="21"/>
          <w:szCs w:val="21"/>
        </w:rPr>
        <w:t>pending issues of 2rd PRC, mainly the grant of E2 and E3 scales to JTOs and SDEs</w:t>
      </w:r>
      <w:r w:rsidR="00CB437F" w:rsidRPr="00A916E2">
        <w:rPr>
          <w:rFonts w:eastAsia="Calibri" w:cs="Arial"/>
          <w:sz w:val="21"/>
          <w:szCs w:val="21"/>
        </w:rPr>
        <w:t xml:space="preserve"> equivalent executives</w:t>
      </w:r>
      <w:r w:rsidR="00575FF3" w:rsidRPr="00A916E2">
        <w:rPr>
          <w:rFonts w:eastAsia="Calibri" w:cs="Arial"/>
          <w:sz w:val="21"/>
          <w:szCs w:val="21"/>
        </w:rPr>
        <w:t xml:space="preserve"> and the Superannuation benefits- Pension scheme. AIGETOA has been consistently </w:t>
      </w:r>
      <w:r w:rsidR="00CB437F" w:rsidRPr="00A916E2">
        <w:rPr>
          <w:rFonts w:eastAsia="Calibri" w:cs="Arial"/>
          <w:sz w:val="21"/>
          <w:szCs w:val="21"/>
        </w:rPr>
        <w:t>pursuing the</w:t>
      </w:r>
      <w:r w:rsidR="00575FF3" w:rsidRPr="00A916E2">
        <w:rPr>
          <w:rFonts w:eastAsia="Calibri" w:cs="Arial"/>
          <w:sz w:val="21"/>
          <w:szCs w:val="21"/>
        </w:rPr>
        <w:t xml:space="preserve"> settlement of these two burning issues.</w:t>
      </w:r>
    </w:p>
    <w:p w:rsidR="00C311CD" w:rsidRPr="00A916E2" w:rsidRDefault="00575FF3" w:rsidP="00C311CD">
      <w:pPr>
        <w:spacing w:before="240" w:after="0"/>
        <w:jc w:val="both"/>
        <w:rPr>
          <w:rFonts w:eastAsia="Calibri" w:cs="Arial"/>
          <w:sz w:val="21"/>
          <w:szCs w:val="21"/>
        </w:rPr>
      </w:pPr>
      <w:r w:rsidRPr="00A916E2">
        <w:rPr>
          <w:rFonts w:eastAsia="Calibri" w:cs="Arial"/>
          <w:sz w:val="21"/>
          <w:szCs w:val="21"/>
        </w:rPr>
        <w:t>3.</w:t>
      </w:r>
      <w:r w:rsidRPr="00A916E2">
        <w:rPr>
          <w:rFonts w:eastAsia="Calibri" w:cs="Arial"/>
          <w:sz w:val="21"/>
          <w:szCs w:val="21"/>
        </w:rPr>
        <w:tab/>
        <w:t xml:space="preserve"> In view of above, AIGETOA request you to kindly consider the following demands / submissions:</w:t>
      </w:r>
    </w:p>
    <w:p w:rsidR="00575FF3" w:rsidRPr="00A916E2" w:rsidRDefault="0009154D" w:rsidP="00D34E66">
      <w:pPr>
        <w:pStyle w:val="ListParagraph"/>
        <w:numPr>
          <w:ilvl w:val="0"/>
          <w:numId w:val="31"/>
        </w:numPr>
        <w:spacing w:before="240" w:after="0"/>
        <w:jc w:val="both"/>
        <w:rPr>
          <w:rFonts w:eastAsia="Calibri" w:cs="Arial"/>
          <w:sz w:val="21"/>
          <w:szCs w:val="21"/>
        </w:rPr>
      </w:pPr>
      <w:r w:rsidRPr="00A916E2">
        <w:rPr>
          <w:rFonts w:eastAsia="Calibri" w:cs="Arial"/>
          <w:sz w:val="21"/>
          <w:szCs w:val="21"/>
        </w:rPr>
        <w:t>Immediate g</w:t>
      </w:r>
      <w:r w:rsidR="00575FF3" w:rsidRPr="00A916E2">
        <w:rPr>
          <w:rFonts w:eastAsia="Calibri" w:cs="Arial"/>
          <w:sz w:val="21"/>
          <w:szCs w:val="21"/>
        </w:rPr>
        <w:t xml:space="preserve">rant of E2 &amp; E3 scales to the cadres of JTO &amp; SDE and equivalent executives </w:t>
      </w:r>
      <w:r w:rsidRPr="00A916E2">
        <w:rPr>
          <w:rFonts w:eastAsia="Calibri" w:cs="Arial"/>
          <w:sz w:val="21"/>
          <w:szCs w:val="21"/>
        </w:rPr>
        <w:t>in anticipation of DOT’s approval.</w:t>
      </w:r>
    </w:p>
    <w:p w:rsidR="00575FF3" w:rsidRPr="00A916E2" w:rsidRDefault="00575FF3" w:rsidP="00D34E66">
      <w:pPr>
        <w:pStyle w:val="ListParagraph"/>
        <w:numPr>
          <w:ilvl w:val="0"/>
          <w:numId w:val="31"/>
        </w:numPr>
        <w:spacing w:before="240" w:after="0"/>
        <w:jc w:val="both"/>
        <w:rPr>
          <w:rFonts w:eastAsia="Calibri" w:cs="Arial"/>
          <w:sz w:val="21"/>
          <w:szCs w:val="21"/>
        </w:rPr>
      </w:pPr>
      <w:r w:rsidRPr="00A916E2">
        <w:rPr>
          <w:rFonts w:eastAsia="Calibri" w:cs="Arial"/>
          <w:sz w:val="21"/>
          <w:szCs w:val="21"/>
        </w:rPr>
        <w:t xml:space="preserve">Immediate start of operation of </w:t>
      </w:r>
      <w:r w:rsidR="0009154D" w:rsidRPr="00A916E2">
        <w:rPr>
          <w:rFonts w:eastAsia="Calibri" w:cs="Arial"/>
          <w:sz w:val="21"/>
          <w:szCs w:val="21"/>
        </w:rPr>
        <w:t xml:space="preserve">already approved </w:t>
      </w:r>
      <w:r w:rsidRPr="00A916E2">
        <w:rPr>
          <w:rFonts w:eastAsia="Calibri" w:cs="Arial"/>
          <w:sz w:val="21"/>
          <w:szCs w:val="21"/>
        </w:rPr>
        <w:t>Superannuation Pension Scheme for directly recruited employees and</w:t>
      </w:r>
      <w:r w:rsidR="0009154D" w:rsidRPr="00A916E2">
        <w:rPr>
          <w:rFonts w:eastAsia="Calibri" w:cs="Arial"/>
          <w:sz w:val="21"/>
          <w:szCs w:val="21"/>
        </w:rPr>
        <w:t xml:space="preserve"> e</w:t>
      </w:r>
      <w:r w:rsidRPr="00A916E2">
        <w:rPr>
          <w:rFonts w:eastAsia="Calibri" w:cs="Arial"/>
          <w:sz w:val="21"/>
          <w:szCs w:val="21"/>
        </w:rPr>
        <w:t>nhancement of the rate of employer’s contribution from existing 3%</w:t>
      </w:r>
      <w:r w:rsidR="00303F0A">
        <w:rPr>
          <w:rFonts w:eastAsia="Calibri" w:cs="Arial"/>
          <w:sz w:val="21"/>
          <w:szCs w:val="21"/>
        </w:rPr>
        <w:t xml:space="preserve"> and reconsideration of date of effect</w:t>
      </w:r>
      <w:r w:rsidRPr="00A916E2">
        <w:rPr>
          <w:rFonts w:eastAsia="Calibri" w:cs="Arial"/>
          <w:sz w:val="21"/>
          <w:szCs w:val="21"/>
        </w:rPr>
        <w:t>.</w:t>
      </w:r>
    </w:p>
    <w:p w:rsidR="00575FF3" w:rsidRPr="00A916E2" w:rsidRDefault="00575FF3" w:rsidP="00D34E66">
      <w:pPr>
        <w:pStyle w:val="ListParagraph"/>
        <w:numPr>
          <w:ilvl w:val="0"/>
          <w:numId w:val="31"/>
        </w:numPr>
        <w:spacing w:before="240" w:after="0"/>
        <w:jc w:val="both"/>
        <w:rPr>
          <w:rFonts w:eastAsia="Calibri" w:cs="Arial"/>
          <w:sz w:val="21"/>
          <w:szCs w:val="21"/>
        </w:rPr>
      </w:pPr>
      <w:r w:rsidRPr="00A916E2">
        <w:rPr>
          <w:rFonts w:eastAsia="Calibri" w:cs="Arial"/>
          <w:sz w:val="21"/>
          <w:szCs w:val="21"/>
        </w:rPr>
        <w:t>While sending the proposal for implementation of 3</w:t>
      </w:r>
      <w:r w:rsidRPr="00A916E2">
        <w:rPr>
          <w:rFonts w:eastAsia="Calibri" w:cs="Arial"/>
          <w:sz w:val="21"/>
          <w:szCs w:val="21"/>
          <w:vertAlign w:val="superscript"/>
        </w:rPr>
        <w:t>rd</w:t>
      </w:r>
      <w:r w:rsidRPr="00A916E2">
        <w:rPr>
          <w:rFonts w:eastAsia="Calibri" w:cs="Arial"/>
          <w:sz w:val="21"/>
          <w:szCs w:val="21"/>
        </w:rPr>
        <w:t xml:space="preserve"> PRC w.e.f. 01.01.2017</w:t>
      </w:r>
      <w:r w:rsidR="00EC38BA" w:rsidRPr="00A916E2">
        <w:rPr>
          <w:rFonts w:eastAsia="Calibri" w:cs="Arial"/>
          <w:sz w:val="21"/>
          <w:szCs w:val="21"/>
        </w:rPr>
        <w:t xml:space="preserve"> to DOT</w:t>
      </w:r>
      <w:r w:rsidRPr="00A916E2">
        <w:rPr>
          <w:rFonts w:eastAsia="Calibri" w:cs="Arial"/>
          <w:sz w:val="21"/>
          <w:szCs w:val="21"/>
        </w:rPr>
        <w:t>, the revised pay scale</w:t>
      </w:r>
      <w:r w:rsidR="00EC38BA" w:rsidRPr="00A916E2">
        <w:rPr>
          <w:rFonts w:eastAsia="Calibri" w:cs="Arial"/>
          <w:sz w:val="21"/>
          <w:szCs w:val="21"/>
        </w:rPr>
        <w:t xml:space="preserve">s </w:t>
      </w:r>
      <w:r w:rsidRPr="00A916E2">
        <w:rPr>
          <w:rFonts w:eastAsia="Calibri" w:cs="Arial"/>
          <w:sz w:val="21"/>
          <w:szCs w:val="21"/>
        </w:rPr>
        <w:t xml:space="preserve">for JTOs and SDEs &amp; equivalent executives </w:t>
      </w:r>
      <w:r w:rsidR="00EC38BA" w:rsidRPr="00A916E2">
        <w:rPr>
          <w:rFonts w:eastAsia="Calibri" w:cs="Arial"/>
          <w:sz w:val="21"/>
          <w:szCs w:val="21"/>
        </w:rPr>
        <w:t>must be specifically mentioned as E2 and E3 respectively.</w:t>
      </w:r>
    </w:p>
    <w:p w:rsidR="00EC38BA" w:rsidRPr="00A916E2" w:rsidRDefault="00EC38BA" w:rsidP="00D34E66">
      <w:pPr>
        <w:pStyle w:val="ListParagraph"/>
        <w:numPr>
          <w:ilvl w:val="0"/>
          <w:numId w:val="31"/>
        </w:numPr>
        <w:spacing w:before="240" w:after="0"/>
        <w:jc w:val="both"/>
        <w:rPr>
          <w:rFonts w:eastAsia="Calibri" w:cs="Arial"/>
          <w:sz w:val="21"/>
          <w:szCs w:val="21"/>
        </w:rPr>
      </w:pPr>
      <w:r w:rsidRPr="00A916E2">
        <w:rPr>
          <w:rFonts w:eastAsia="Calibri" w:cs="Arial"/>
          <w:sz w:val="21"/>
          <w:szCs w:val="21"/>
        </w:rPr>
        <w:t>During 3</w:t>
      </w:r>
      <w:r w:rsidRPr="00A916E2">
        <w:rPr>
          <w:rFonts w:eastAsia="Calibri" w:cs="Arial"/>
          <w:sz w:val="21"/>
          <w:szCs w:val="21"/>
          <w:vertAlign w:val="superscript"/>
        </w:rPr>
        <w:t>rd</w:t>
      </w:r>
      <w:r w:rsidRPr="00A916E2">
        <w:rPr>
          <w:rFonts w:eastAsia="Calibri" w:cs="Arial"/>
          <w:sz w:val="21"/>
          <w:szCs w:val="21"/>
        </w:rPr>
        <w:t xml:space="preserve"> PRC, there should not be any compromise o</w:t>
      </w:r>
      <w:r w:rsidR="00CD6DE4" w:rsidRPr="00A916E2">
        <w:rPr>
          <w:rFonts w:eastAsia="Calibri" w:cs="Arial"/>
          <w:sz w:val="21"/>
          <w:szCs w:val="21"/>
        </w:rPr>
        <w:t>n</w:t>
      </w:r>
      <w:r w:rsidRPr="00A916E2">
        <w:rPr>
          <w:rFonts w:eastAsia="Calibri" w:cs="Arial"/>
          <w:sz w:val="21"/>
          <w:szCs w:val="21"/>
        </w:rPr>
        <w:t xml:space="preserve"> pension benefit or Superannuation benefits of </w:t>
      </w:r>
      <w:r w:rsidR="0009154D" w:rsidRPr="00A916E2">
        <w:rPr>
          <w:rFonts w:eastAsia="Calibri" w:cs="Arial"/>
          <w:sz w:val="21"/>
          <w:szCs w:val="21"/>
        </w:rPr>
        <w:t>any</w:t>
      </w:r>
      <w:r w:rsidRPr="00A916E2">
        <w:rPr>
          <w:rFonts w:eastAsia="Calibri" w:cs="Arial"/>
          <w:sz w:val="21"/>
          <w:szCs w:val="21"/>
        </w:rPr>
        <w:t xml:space="preserve"> BSNL</w:t>
      </w:r>
      <w:r w:rsidR="00CD6DE4" w:rsidRPr="00A916E2">
        <w:rPr>
          <w:rFonts w:eastAsia="Calibri" w:cs="Arial"/>
          <w:sz w:val="21"/>
          <w:szCs w:val="21"/>
        </w:rPr>
        <w:t xml:space="preserve"> </w:t>
      </w:r>
      <w:r w:rsidRPr="00A916E2">
        <w:rPr>
          <w:rFonts w:eastAsia="Calibri" w:cs="Arial"/>
          <w:sz w:val="21"/>
          <w:szCs w:val="21"/>
        </w:rPr>
        <w:t xml:space="preserve">employee </w:t>
      </w:r>
      <w:r w:rsidR="0009154D" w:rsidRPr="00A916E2">
        <w:rPr>
          <w:rFonts w:eastAsia="Calibri" w:cs="Arial"/>
          <w:sz w:val="21"/>
          <w:szCs w:val="21"/>
        </w:rPr>
        <w:t>– whether absorbed or directly recruited.</w:t>
      </w:r>
    </w:p>
    <w:p w:rsidR="0009154D" w:rsidRPr="00A916E2" w:rsidRDefault="0009154D" w:rsidP="00C311CD">
      <w:pPr>
        <w:spacing w:before="240" w:after="0"/>
        <w:jc w:val="both"/>
        <w:rPr>
          <w:rFonts w:eastAsia="Calibri" w:cs="Arial"/>
          <w:sz w:val="21"/>
          <w:szCs w:val="21"/>
        </w:rPr>
      </w:pPr>
      <w:r w:rsidRPr="00A916E2">
        <w:rPr>
          <w:rFonts w:eastAsia="Calibri" w:cs="Arial"/>
          <w:sz w:val="21"/>
          <w:szCs w:val="21"/>
        </w:rPr>
        <w:t>4.</w:t>
      </w:r>
      <w:r w:rsidRPr="00A916E2">
        <w:rPr>
          <w:rFonts w:eastAsia="Calibri" w:cs="Arial"/>
          <w:sz w:val="21"/>
          <w:szCs w:val="21"/>
        </w:rPr>
        <w:tab/>
        <w:t>It is our humble request to consider our genuine demands as above and instruct the Committee and the concerned officers to incorporate the above demands/ submissions while making proposal for 3</w:t>
      </w:r>
      <w:r w:rsidRPr="00A916E2">
        <w:rPr>
          <w:rFonts w:eastAsia="Calibri" w:cs="Arial"/>
          <w:sz w:val="21"/>
          <w:szCs w:val="21"/>
          <w:vertAlign w:val="superscript"/>
        </w:rPr>
        <w:t>rd</w:t>
      </w:r>
      <w:r w:rsidR="00CB437F" w:rsidRPr="00A916E2">
        <w:rPr>
          <w:rFonts w:eastAsia="Calibri" w:cs="Arial"/>
          <w:sz w:val="21"/>
          <w:szCs w:val="21"/>
        </w:rPr>
        <w:t xml:space="preserve"> PRC implementation in BSNL. </w:t>
      </w:r>
    </w:p>
    <w:p w:rsidR="00C311CD" w:rsidRPr="00A916E2" w:rsidRDefault="00C311CD" w:rsidP="00C311CD">
      <w:pPr>
        <w:spacing w:before="240" w:after="0"/>
        <w:jc w:val="both"/>
        <w:rPr>
          <w:rFonts w:eastAsia="Calibri" w:cs="Arial"/>
          <w:sz w:val="21"/>
          <w:szCs w:val="21"/>
        </w:rPr>
      </w:pPr>
      <w:r w:rsidRPr="00A916E2">
        <w:rPr>
          <w:rFonts w:eastAsia="Calibri" w:cs="Arial"/>
          <w:sz w:val="21"/>
          <w:szCs w:val="21"/>
        </w:rPr>
        <w:tab/>
      </w:r>
      <w:r w:rsidR="00A916E2">
        <w:rPr>
          <w:rFonts w:eastAsia="Calibri" w:cs="Arial"/>
          <w:sz w:val="21"/>
          <w:szCs w:val="21"/>
        </w:rPr>
        <w:tab/>
      </w:r>
      <w:r w:rsidR="00A916E2">
        <w:rPr>
          <w:rFonts w:eastAsia="Calibri" w:cs="Arial"/>
          <w:sz w:val="21"/>
          <w:szCs w:val="21"/>
        </w:rPr>
        <w:tab/>
      </w:r>
      <w:r w:rsidRPr="00A916E2">
        <w:rPr>
          <w:rFonts w:eastAsia="Calibri" w:cs="Arial"/>
          <w:sz w:val="21"/>
          <w:szCs w:val="21"/>
        </w:rPr>
        <w:t>With warm regards,</w:t>
      </w:r>
    </w:p>
    <w:p w:rsidR="00C311CD" w:rsidRPr="00A916E2" w:rsidRDefault="00C311CD" w:rsidP="00C311CD">
      <w:pPr>
        <w:spacing w:before="240" w:after="0" w:line="240" w:lineRule="auto"/>
        <w:jc w:val="right"/>
        <w:rPr>
          <w:rFonts w:eastAsia="Calibri" w:cs="Arial"/>
          <w:b/>
          <w:sz w:val="21"/>
          <w:szCs w:val="21"/>
        </w:rPr>
      </w:pPr>
      <w:r w:rsidRPr="00A916E2">
        <w:rPr>
          <w:rFonts w:eastAsia="Calibri" w:cs="Arial"/>
          <w:b/>
          <w:sz w:val="21"/>
          <w:szCs w:val="21"/>
        </w:rPr>
        <w:tab/>
      </w:r>
      <w:r w:rsidRPr="00A916E2">
        <w:rPr>
          <w:rFonts w:eastAsia="Calibri" w:cs="Arial"/>
          <w:b/>
          <w:sz w:val="21"/>
          <w:szCs w:val="21"/>
        </w:rPr>
        <w:tab/>
      </w:r>
      <w:r w:rsidRPr="00A916E2">
        <w:rPr>
          <w:rFonts w:eastAsia="Calibri" w:cs="Arial"/>
          <w:b/>
          <w:sz w:val="21"/>
          <w:szCs w:val="21"/>
        </w:rPr>
        <w:tab/>
      </w:r>
      <w:r w:rsidRPr="00A916E2">
        <w:rPr>
          <w:rFonts w:eastAsia="Calibri" w:cs="Arial"/>
          <w:b/>
          <w:sz w:val="21"/>
          <w:szCs w:val="21"/>
        </w:rPr>
        <w:tab/>
      </w:r>
      <w:r w:rsidRPr="00A916E2">
        <w:rPr>
          <w:rFonts w:eastAsia="Calibri" w:cs="Arial"/>
          <w:b/>
          <w:sz w:val="21"/>
          <w:szCs w:val="21"/>
        </w:rPr>
        <w:tab/>
      </w:r>
      <w:r w:rsidRPr="00A916E2">
        <w:rPr>
          <w:rFonts w:eastAsia="Calibri" w:cs="Arial"/>
          <w:b/>
          <w:sz w:val="21"/>
          <w:szCs w:val="21"/>
        </w:rPr>
        <w:tab/>
      </w:r>
      <w:r w:rsidRPr="00A916E2">
        <w:rPr>
          <w:rFonts w:eastAsia="Calibri" w:cs="Arial"/>
          <w:b/>
          <w:sz w:val="21"/>
          <w:szCs w:val="21"/>
        </w:rPr>
        <w:tab/>
      </w:r>
      <w:r w:rsidRPr="00A916E2">
        <w:rPr>
          <w:rFonts w:eastAsia="Calibri" w:cs="Arial"/>
          <w:b/>
          <w:sz w:val="21"/>
          <w:szCs w:val="21"/>
        </w:rPr>
        <w:tab/>
      </w:r>
      <w:r w:rsidRPr="00A916E2">
        <w:rPr>
          <w:rFonts w:eastAsia="Calibri" w:cs="Arial"/>
          <w:b/>
          <w:sz w:val="21"/>
          <w:szCs w:val="21"/>
        </w:rPr>
        <w:tab/>
        <w:t>[Ravi Shil Verma]</w:t>
      </w:r>
    </w:p>
    <w:p w:rsidR="00173F14" w:rsidRPr="00A916E2" w:rsidRDefault="00C311CD" w:rsidP="00A916E2">
      <w:pPr>
        <w:spacing w:after="0" w:line="240" w:lineRule="auto"/>
        <w:jc w:val="right"/>
        <w:rPr>
          <w:rFonts w:eastAsia="Calibri" w:cs="Arial"/>
          <w:b/>
          <w:sz w:val="21"/>
          <w:szCs w:val="21"/>
        </w:rPr>
      </w:pPr>
      <w:r w:rsidRPr="00A916E2">
        <w:rPr>
          <w:rFonts w:eastAsia="Calibri" w:cs="Arial"/>
          <w:b/>
          <w:sz w:val="21"/>
          <w:szCs w:val="21"/>
        </w:rPr>
        <w:t>GS- AIGETOA</w:t>
      </w:r>
    </w:p>
    <w:sectPr w:rsidR="00173F14" w:rsidRPr="00A916E2" w:rsidSect="007A64F5">
      <w:footerReference w:type="default" r:id="rId9"/>
      <w:pgSz w:w="11907" w:h="16839" w:code="9"/>
      <w:pgMar w:top="45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1E0" w:rsidRDefault="00ED21E0" w:rsidP="007A64F5">
      <w:pPr>
        <w:spacing w:after="0" w:line="240" w:lineRule="auto"/>
      </w:pPr>
      <w:r>
        <w:separator/>
      </w:r>
    </w:p>
  </w:endnote>
  <w:endnote w:type="continuationSeparator" w:id="1">
    <w:p w:rsidR="00ED21E0" w:rsidRDefault="00ED21E0" w:rsidP="007A6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4F5" w:rsidRPr="00774104" w:rsidRDefault="00106977" w:rsidP="007A64F5">
    <w:pPr>
      <w:pStyle w:val="Footer"/>
      <w:jc w:val="center"/>
      <w:rPr>
        <w:b/>
        <w:bCs/>
      </w:rPr>
    </w:pPr>
    <w:r w:rsidRPr="00106977">
      <w:rPr>
        <w:b/>
        <w:bCs/>
        <w:noProof/>
        <w:lang w:val="en-IN" w:eastAsia="en-IN"/>
      </w:rPr>
      <w:pict>
        <v:shapetype id="_x0000_t32" coordsize="21600,21600" o:spt="32" o:oned="t" path="m,l21600,21600e" filled="f">
          <v:path arrowok="t" fillok="f" o:connecttype="none"/>
          <o:lock v:ext="edit" shapetype="t"/>
        </v:shapetype>
        <v:shape id="AutoShape 1" o:spid="_x0000_s65537" type="#_x0000_t32" style="position:absolute;left:0;text-align:left;margin-left:-63.05pt;margin-top:-2.1pt;width:589.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qk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"/>
      </w:pict>
    </w:r>
    <w:r w:rsidR="007A64F5" w:rsidRPr="00774104">
      <w:rPr>
        <w:b/>
        <w:bCs/>
      </w:rPr>
      <w:t>Regn. No. : HR/019/2016/02138</w:t>
    </w:r>
  </w:p>
  <w:p w:rsidR="007A64F5" w:rsidRPr="00A916E2" w:rsidRDefault="007A64F5" w:rsidP="007A64F5">
    <w:pPr>
      <w:pStyle w:val="Footer"/>
      <w:rPr>
        <w:sz w:val="20"/>
        <w:szCs w:val="20"/>
      </w:rPr>
    </w:pPr>
    <w:r w:rsidRPr="00A916E2">
      <w:rPr>
        <w:sz w:val="20"/>
        <w:szCs w:val="20"/>
      </w:rPr>
      <w:t>Regd. Office : Flat No. A-302, Life Style Residency, Plot no: GH 41-42, Sector-65, Faridabad, Haryana-121006</w:t>
    </w:r>
  </w:p>
  <w:p w:rsidR="007A64F5" w:rsidRDefault="007A64F5">
    <w:pPr>
      <w:pStyle w:val="Footer"/>
    </w:pPr>
  </w:p>
  <w:p w:rsidR="007A64F5" w:rsidRDefault="007A64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1E0" w:rsidRDefault="00ED21E0" w:rsidP="007A64F5">
      <w:pPr>
        <w:spacing w:after="0" w:line="240" w:lineRule="auto"/>
      </w:pPr>
      <w:r>
        <w:separator/>
      </w:r>
    </w:p>
  </w:footnote>
  <w:footnote w:type="continuationSeparator" w:id="1">
    <w:p w:rsidR="00ED21E0" w:rsidRDefault="00ED21E0" w:rsidP="007A64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DCD"/>
    <w:multiLevelType w:val="hybridMultilevel"/>
    <w:tmpl w:val="90F6D94A"/>
    <w:lvl w:ilvl="0" w:tplc="7E1A421E">
      <w:start w:val="5"/>
      <w:numFmt w:val="low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C53A3"/>
    <w:multiLevelType w:val="hybridMultilevel"/>
    <w:tmpl w:val="CE98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22E54"/>
    <w:multiLevelType w:val="hybridMultilevel"/>
    <w:tmpl w:val="A606BEC8"/>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F660A"/>
    <w:multiLevelType w:val="hybridMultilevel"/>
    <w:tmpl w:val="C022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D4C75"/>
    <w:multiLevelType w:val="hybridMultilevel"/>
    <w:tmpl w:val="8AF42136"/>
    <w:lvl w:ilvl="0" w:tplc="637E39F0">
      <w:start w:val="1"/>
      <w:numFmt w:val="decimal"/>
      <w:lvlText w:val="%1-"/>
      <w:lvlJc w:val="left"/>
      <w:pPr>
        <w:ind w:left="720" w:hanging="360"/>
      </w:pPr>
      <w:rPr>
        <w:rFonts w:hint="default"/>
        <w:b/>
      </w:rPr>
    </w:lvl>
    <w:lvl w:ilvl="1" w:tplc="8884B6DE">
      <w:start w:val="1"/>
      <w:numFmt w:val="upperLetter"/>
      <w:lvlText w:val="%2-"/>
      <w:lvlJc w:val="left"/>
      <w:pPr>
        <w:tabs>
          <w:tab w:val="num" w:pos="1800"/>
        </w:tabs>
        <w:ind w:left="1800" w:hanging="720"/>
      </w:pPr>
      <w:rPr>
        <w:rFonts w:hint="default"/>
      </w:rPr>
    </w:lvl>
    <w:lvl w:ilvl="2" w:tplc="71DA361E">
      <w:start w:val="1"/>
      <w:numFmt w:val="upperRoman"/>
      <w:lvlText w:val="(%3)"/>
      <w:lvlJc w:val="left"/>
      <w:pPr>
        <w:tabs>
          <w:tab w:val="num" w:pos="2700"/>
        </w:tabs>
        <w:ind w:left="2700" w:hanging="720"/>
      </w:pPr>
      <w:rPr>
        <w:rFonts w:hint="default"/>
      </w:rPr>
    </w:lvl>
    <w:lvl w:ilvl="3" w:tplc="97B6BACE">
      <w:start w:val="1"/>
      <w:numFmt w:val="upperLetter"/>
      <w:lvlText w:val="%4)"/>
      <w:lvlJc w:val="left"/>
      <w:pPr>
        <w:tabs>
          <w:tab w:val="num" w:pos="2970"/>
        </w:tabs>
        <w:ind w:left="2970" w:hanging="45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2169C"/>
    <w:multiLevelType w:val="hybridMultilevel"/>
    <w:tmpl w:val="0F26A550"/>
    <w:lvl w:ilvl="0" w:tplc="F32452EC">
      <w:start w:val="1"/>
      <w:numFmt w:val="decimal"/>
      <w:lvlText w:val="%1)"/>
      <w:lvlJc w:val="left"/>
      <w:pPr>
        <w:ind w:left="12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5690F49"/>
    <w:multiLevelType w:val="hybridMultilevel"/>
    <w:tmpl w:val="A8C8AEDE"/>
    <w:lvl w:ilvl="0" w:tplc="DAFC9B0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41F58"/>
    <w:multiLevelType w:val="hybridMultilevel"/>
    <w:tmpl w:val="62861F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BE3F46"/>
    <w:multiLevelType w:val="hybridMultilevel"/>
    <w:tmpl w:val="584C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C668C"/>
    <w:multiLevelType w:val="hybridMultilevel"/>
    <w:tmpl w:val="C932F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6C7F11"/>
    <w:multiLevelType w:val="hybridMultilevel"/>
    <w:tmpl w:val="EC9472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FF34B3"/>
    <w:multiLevelType w:val="hybridMultilevel"/>
    <w:tmpl w:val="DEAE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B92E5C"/>
    <w:multiLevelType w:val="hybridMultilevel"/>
    <w:tmpl w:val="5F18A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FD7E0D"/>
    <w:multiLevelType w:val="hybridMultilevel"/>
    <w:tmpl w:val="8AA2D660"/>
    <w:lvl w:ilvl="0" w:tplc="C0A611DA">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30D3886"/>
    <w:multiLevelType w:val="hybridMultilevel"/>
    <w:tmpl w:val="5FD6F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001DB8"/>
    <w:multiLevelType w:val="hybridMultilevel"/>
    <w:tmpl w:val="82CE9C14"/>
    <w:lvl w:ilvl="0" w:tplc="2A6031E4">
      <w:start w:val="1"/>
      <w:numFmt w:val="upp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3B9F7617"/>
    <w:multiLevelType w:val="hybridMultilevel"/>
    <w:tmpl w:val="4274D5C8"/>
    <w:lvl w:ilvl="0" w:tplc="42BA420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77E10"/>
    <w:multiLevelType w:val="hybridMultilevel"/>
    <w:tmpl w:val="61B6133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426B46B2"/>
    <w:multiLevelType w:val="hybridMultilevel"/>
    <w:tmpl w:val="D7C2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C34D94"/>
    <w:multiLevelType w:val="hybridMultilevel"/>
    <w:tmpl w:val="BA62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357B4"/>
    <w:multiLevelType w:val="hybridMultilevel"/>
    <w:tmpl w:val="DB529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64671A6"/>
    <w:multiLevelType w:val="hybridMultilevel"/>
    <w:tmpl w:val="9AAAD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75407B8"/>
    <w:multiLevelType w:val="hybridMultilevel"/>
    <w:tmpl w:val="9EA2265C"/>
    <w:lvl w:ilvl="0" w:tplc="64C8B2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591A7E40"/>
    <w:multiLevelType w:val="hybridMultilevel"/>
    <w:tmpl w:val="67326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93A5696"/>
    <w:multiLevelType w:val="hybridMultilevel"/>
    <w:tmpl w:val="5338EB24"/>
    <w:lvl w:ilvl="0" w:tplc="96F22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6F07DA"/>
    <w:multiLevelType w:val="hybridMultilevel"/>
    <w:tmpl w:val="AD6450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8320E8A"/>
    <w:multiLevelType w:val="hybridMultilevel"/>
    <w:tmpl w:val="9D22BF14"/>
    <w:lvl w:ilvl="0" w:tplc="F32452E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8BF3B69"/>
    <w:multiLevelType w:val="hybridMultilevel"/>
    <w:tmpl w:val="4A62F7B0"/>
    <w:lvl w:ilvl="0" w:tplc="575E27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8018D3"/>
    <w:multiLevelType w:val="hybridMultilevel"/>
    <w:tmpl w:val="F4D63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06B36"/>
    <w:multiLevelType w:val="hybridMultilevel"/>
    <w:tmpl w:val="803C2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777BBB"/>
    <w:multiLevelType w:val="hybridMultilevel"/>
    <w:tmpl w:val="4A52B146"/>
    <w:lvl w:ilvl="0" w:tplc="3802033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7"/>
  </w:num>
  <w:num w:numId="4">
    <w:abstractNumId w:val="6"/>
  </w:num>
  <w:num w:numId="5">
    <w:abstractNumId w:val="11"/>
  </w:num>
  <w:num w:numId="6">
    <w:abstractNumId w:val="1"/>
  </w:num>
  <w:num w:numId="7">
    <w:abstractNumId w:val="18"/>
  </w:num>
  <w:num w:numId="8">
    <w:abstractNumId w:val="23"/>
  </w:num>
  <w:num w:numId="9">
    <w:abstractNumId w:val="20"/>
  </w:num>
  <w:num w:numId="10">
    <w:abstractNumId w:val="21"/>
  </w:num>
  <w:num w:numId="11">
    <w:abstractNumId w:val="25"/>
  </w:num>
  <w:num w:numId="12">
    <w:abstractNumId w:val="3"/>
  </w:num>
  <w:num w:numId="13">
    <w:abstractNumId w:val="19"/>
  </w:num>
  <w:num w:numId="14">
    <w:abstractNumId w:val="10"/>
  </w:num>
  <w:num w:numId="15">
    <w:abstractNumId w:val="7"/>
  </w:num>
  <w:num w:numId="16">
    <w:abstractNumId w:val="12"/>
  </w:num>
  <w:num w:numId="17">
    <w:abstractNumId w:val="9"/>
  </w:num>
  <w:num w:numId="18">
    <w:abstractNumId w:val="13"/>
  </w:num>
  <w:num w:numId="19">
    <w:abstractNumId w:val="26"/>
  </w:num>
  <w:num w:numId="20">
    <w:abstractNumId w:val="5"/>
  </w:num>
  <w:num w:numId="21">
    <w:abstractNumId w:val="22"/>
  </w:num>
  <w:num w:numId="22">
    <w:abstractNumId w:val="28"/>
  </w:num>
  <w:num w:numId="23">
    <w:abstractNumId w:val="15"/>
  </w:num>
  <w:num w:numId="24">
    <w:abstractNumId w:val="30"/>
  </w:num>
  <w:num w:numId="25">
    <w:abstractNumId w:val="0"/>
  </w:num>
  <w:num w:numId="26">
    <w:abstractNumId w:val="4"/>
  </w:num>
  <w:num w:numId="27">
    <w:abstractNumId w:val="27"/>
  </w:num>
  <w:num w:numId="28">
    <w:abstractNumId w:val="16"/>
  </w:num>
  <w:num w:numId="29">
    <w:abstractNumId w:val="2"/>
  </w:num>
  <w:num w:numId="30">
    <w:abstractNumId w:val="29"/>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70658"/>
    <o:shapelayout v:ext="edit">
      <o:idmap v:ext="edit" data="64"/>
      <o:rules v:ext="edit">
        <o:r id="V:Rule2" type="connector" idref="#AutoShape 1"/>
      </o:rules>
    </o:shapelayout>
  </w:hdrShapeDefaults>
  <w:footnotePr>
    <w:footnote w:id="0"/>
    <w:footnote w:id="1"/>
  </w:footnotePr>
  <w:endnotePr>
    <w:endnote w:id="0"/>
    <w:endnote w:id="1"/>
  </w:endnotePr>
  <w:compat>
    <w:useFELayout/>
  </w:compat>
  <w:rsids>
    <w:rsidRoot w:val="00344431"/>
    <w:rsid w:val="00001078"/>
    <w:rsid w:val="00010E6D"/>
    <w:rsid w:val="0002443E"/>
    <w:rsid w:val="000444BA"/>
    <w:rsid w:val="00052F81"/>
    <w:rsid w:val="000607AA"/>
    <w:rsid w:val="00061913"/>
    <w:rsid w:val="000707DB"/>
    <w:rsid w:val="00077DB6"/>
    <w:rsid w:val="00082618"/>
    <w:rsid w:val="00085CAE"/>
    <w:rsid w:val="0009154D"/>
    <w:rsid w:val="000976C3"/>
    <w:rsid w:val="000A795E"/>
    <w:rsid w:val="000C055D"/>
    <w:rsid w:val="000D78DB"/>
    <w:rsid w:val="000E0E93"/>
    <w:rsid w:val="000F5D54"/>
    <w:rsid w:val="0010001B"/>
    <w:rsid w:val="00104343"/>
    <w:rsid w:val="00104751"/>
    <w:rsid w:val="00106977"/>
    <w:rsid w:val="00110B55"/>
    <w:rsid w:val="00117727"/>
    <w:rsid w:val="00124316"/>
    <w:rsid w:val="001250D4"/>
    <w:rsid w:val="00126112"/>
    <w:rsid w:val="00134160"/>
    <w:rsid w:val="00142EAD"/>
    <w:rsid w:val="0014495F"/>
    <w:rsid w:val="00147E66"/>
    <w:rsid w:val="00154412"/>
    <w:rsid w:val="00165691"/>
    <w:rsid w:val="00170C7F"/>
    <w:rsid w:val="00173F14"/>
    <w:rsid w:val="0017660E"/>
    <w:rsid w:val="00185F77"/>
    <w:rsid w:val="00195BDB"/>
    <w:rsid w:val="001B06F6"/>
    <w:rsid w:val="001C736C"/>
    <w:rsid w:val="001D7F10"/>
    <w:rsid w:val="00205971"/>
    <w:rsid w:val="002103FF"/>
    <w:rsid w:val="0021235B"/>
    <w:rsid w:val="002243FB"/>
    <w:rsid w:val="002422B1"/>
    <w:rsid w:val="0024399A"/>
    <w:rsid w:val="00253BA7"/>
    <w:rsid w:val="00266266"/>
    <w:rsid w:val="002677FC"/>
    <w:rsid w:val="00273449"/>
    <w:rsid w:val="00274DD4"/>
    <w:rsid w:val="00275351"/>
    <w:rsid w:val="002814FC"/>
    <w:rsid w:val="002818E5"/>
    <w:rsid w:val="002964E5"/>
    <w:rsid w:val="002A2B45"/>
    <w:rsid w:val="002A54E6"/>
    <w:rsid w:val="002C01B0"/>
    <w:rsid w:val="002C0DE7"/>
    <w:rsid w:val="002E3F34"/>
    <w:rsid w:val="002E4809"/>
    <w:rsid w:val="002F0BED"/>
    <w:rsid w:val="002F13CE"/>
    <w:rsid w:val="002F7E44"/>
    <w:rsid w:val="00303F0A"/>
    <w:rsid w:val="00305B70"/>
    <w:rsid w:val="003305AC"/>
    <w:rsid w:val="003309D2"/>
    <w:rsid w:val="0034132F"/>
    <w:rsid w:val="00342BFC"/>
    <w:rsid w:val="00344431"/>
    <w:rsid w:val="0036372E"/>
    <w:rsid w:val="003656FE"/>
    <w:rsid w:val="0036744D"/>
    <w:rsid w:val="003772C7"/>
    <w:rsid w:val="003818BC"/>
    <w:rsid w:val="003C1A88"/>
    <w:rsid w:val="003C2D1B"/>
    <w:rsid w:val="003C32DF"/>
    <w:rsid w:val="003D1B3C"/>
    <w:rsid w:val="00406F7A"/>
    <w:rsid w:val="00424067"/>
    <w:rsid w:val="00432D0A"/>
    <w:rsid w:val="004330D4"/>
    <w:rsid w:val="00443626"/>
    <w:rsid w:val="00453081"/>
    <w:rsid w:val="00453359"/>
    <w:rsid w:val="00457BC7"/>
    <w:rsid w:val="00464B8A"/>
    <w:rsid w:val="004727F0"/>
    <w:rsid w:val="00476798"/>
    <w:rsid w:val="004830CC"/>
    <w:rsid w:val="00485401"/>
    <w:rsid w:val="00493712"/>
    <w:rsid w:val="004943B9"/>
    <w:rsid w:val="00494435"/>
    <w:rsid w:val="00497844"/>
    <w:rsid w:val="004A14DF"/>
    <w:rsid w:val="004A72BC"/>
    <w:rsid w:val="004B7110"/>
    <w:rsid w:val="004C4C31"/>
    <w:rsid w:val="004C7927"/>
    <w:rsid w:val="004E13A3"/>
    <w:rsid w:val="004F443B"/>
    <w:rsid w:val="00504047"/>
    <w:rsid w:val="005040EF"/>
    <w:rsid w:val="0050507A"/>
    <w:rsid w:val="00512665"/>
    <w:rsid w:val="00513B19"/>
    <w:rsid w:val="00515422"/>
    <w:rsid w:val="0051548E"/>
    <w:rsid w:val="00522F81"/>
    <w:rsid w:val="00534268"/>
    <w:rsid w:val="00535FB0"/>
    <w:rsid w:val="00554A39"/>
    <w:rsid w:val="0057480F"/>
    <w:rsid w:val="00575FF3"/>
    <w:rsid w:val="005834D3"/>
    <w:rsid w:val="00584920"/>
    <w:rsid w:val="005941BC"/>
    <w:rsid w:val="00597AD1"/>
    <w:rsid w:val="005A6728"/>
    <w:rsid w:val="005D0984"/>
    <w:rsid w:val="005E1967"/>
    <w:rsid w:val="005F08D8"/>
    <w:rsid w:val="00605383"/>
    <w:rsid w:val="00606959"/>
    <w:rsid w:val="00614C87"/>
    <w:rsid w:val="0062497C"/>
    <w:rsid w:val="00626F21"/>
    <w:rsid w:val="00636ADF"/>
    <w:rsid w:val="006409E5"/>
    <w:rsid w:val="006435C2"/>
    <w:rsid w:val="00644777"/>
    <w:rsid w:val="00653FEB"/>
    <w:rsid w:val="0066207A"/>
    <w:rsid w:val="00667FA4"/>
    <w:rsid w:val="006721F2"/>
    <w:rsid w:val="006A686A"/>
    <w:rsid w:val="006B341C"/>
    <w:rsid w:val="006B6D92"/>
    <w:rsid w:val="006C6AB4"/>
    <w:rsid w:val="006C70DF"/>
    <w:rsid w:val="006D65E7"/>
    <w:rsid w:val="006E3805"/>
    <w:rsid w:val="006F33DD"/>
    <w:rsid w:val="0071660B"/>
    <w:rsid w:val="00722914"/>
    <w:rsid w:val="007301B0"/>
    <w:rsid w:val="00732259"/>
    <w:rsid w:val="00741B8F"/>
    <w:rsid w:val="0074727F"/>
    <w:rsid w:val="007632B7"/>
    <w:rsid w:val="00764119"/>
    <w:rsid w:val="007666F4"/>
    <w:rsid w:val="00785F9C"/>
    <w:rsid w:val="007959BF"/>
    <w:rsid w:val="007A64F5"/>
    <w:rsid w:val="007B4DAC"/>
    <w:rsid w:val="007D746B"/>
    <w:rsid w:val="007F547A"/>
    <w:rsid w:val="00801C2F"/>
    <w:rsid w:val="00812545"/>
    <w:rsid w:val="00812638"/>
    <w:rsid w:val="008205A4"/>
    <w:rsid w:val="0082172E"/>
    <w:rsid w:val="0082329B"/>
    <w:rsid w:val="00837CD1"/>
    <w:rsid w:val="008433A2"/>
    <w:rsid w:val="0085121C"/>
    <w:rsid w:val="008570B4"/>
    <w:rsid w:val="0085768A"/>
    <w:rsid w:val="0087159A"/>
    <w:rsid w:val="008751E9"/>
    <w:rsid w:val="00886AD1"/>
    <w:rsid w:val="00893516"/>
    <w:rsid w:val="008A316C"/>
    <w:rsid w:val="008A513A"/>
    <w:rsid w:val="008B15F3"/>
    <w:rsid w:val="008C2314"/>
    <w:rsid w:val="008C3F7A"/>
    <w:rsid w:val="008C61C0"/>
    <w:rsid w:val="008D4A29"/>
    <w:rsid w:val="008F348A"/>
    <w:rsid w:val="00901335"/>
    <w:rsid w:val="0090232D"/>
    <w:rsid w:val="00903302"/>
    <w:rsid w:val="00910C71"/>
    <w:rsid w:val="00916E56"/>
    <w:rsid w:val="009234F4"/>
    <w:rsid w:val="0094065A"/>
    <w:rsid w:val="00940D89"/>
    <w:rsid w:val="00942FDA"/>
    <w:rsid w:val="00965A4E"/>
    <w:rsid w:val="00977AE8"/>
    <w:rsid w:val="009964A5"/>
    <w:rsid w:val="00997722"/>
    <w:rsid w:val="009A32BE"/>
    <w:rsid w:val="009A5105"/>
    <w:rsid w:val="009B2BC0"/>
    <w:rsid w:val="009C2E9F"/>
    <w:rsid w:val="009C6D00"/>
    <w:rsid w:val="009D785D"/>
    <w:rsid w:val="00A04AD9"/>
    <w:rsid w:val="00A153BA"/>
    <w:rsid w:val="00A21A1E"/>
    <w:rsid w:val="00A31475"/>
    <w:rsid w:val="00A435F4"/>
    <w:rsid w:val="00A6020D"/>
    <w:rsid w:val="00A7636E"/>
    <w:rsid w:val="00A76D5D"/>
    <w:rsid w:val="00A916E2"/>
    <w:rsid w:val="00A933BD"/>
    <w:rsid w:val="00AA19AA"/>
    <w:rsid w:val="00AC1EF7"/>
    <w:rsid w:val="00AE0368"/>
    <w:rsid w:val="00AE55B1"/>
    <w:rsid w:val="00AF7D18"/>
    <w:rsid w:val="00B02285"/>
    <w:rsid w:val="00B06515"/>
    <w:rsid w:val="00B1333B"/>
    <w:rsid w:val="00B27C2B"/>
    <w:rsid w:val="00B35640"/>
    <w:rsid w:val="00B36EA5"/>
    <w:rsid w:val="00B459AE"/>
    <w:rsid w:val="00B4762D"/>
    <w:rsid w:val="00B7488C"/>
    <w:rsid w:val="00B77464"/>
    <w:rsid w:val="00B92C88"/>
    <w:rsid w:val="00BC0790"/>
    <w:rsid w:val="00BD5138"/>
    <w:rsid w:val="00BE2065"/>
    <w:rsid w:val="00BE2DAC"/>
    <w:rsid w:val="00BF6332"/>
    <w:rsid w:val="00BF7980"/>
    <w:rsid w:val="00C0090B"/>
    <w:rsid w:val="00C0262F"/>
    <w:rsid w:val="00C04BF8"/>
    <w:rsid w:val="00C13872"/>
    <w:rsid w:val="00C25FBD"/>
    <w:rsid w:val="00C311CD"/>
    <w:rsid w:val="00C34DAF"/>
    <w:rsid w:val="00C37178"/>
    <w:rsid w:val="00C4408A"/>
    <w:rsid w:val="00C61EB3"/>
    <w:rsid w:val="00C6217A"/>
    <w:rsid w:val="00C650E4"/>
    <w:rsid w:val="00C6556F"/>
    <w:rsid w:val="00C743F8"/>
    <w:rsid w:val="00C7737A"/>
    <w:rsid w:val="00C80F3E"/>
    <w:rsid w:val="00CA0D61"/>
    <w:rsid w:val="00CB17AE"/>
    <w:rsid w:val="00CB31FA"/>
    <w:rsid w:val="00CB437F"/>
    <w:rsid w:val="00CB5E6A"/>
    <w:rsid w:val="00CC2AFA"/>
    <w:rsid w:val="00CD3E0D"/>
    <w:rsid w:val="00CD6DE4"/>
    <w:rsid w:val="00CF09A3"/>
    <w:rsid w:val="00CF1515"/>
    <w:rsid w:val="00D17DF2"/>
    <w:rsid w:val="00D34E66"/>
    <w:rsid w:val="00D4674E"/>
    <w:rsid w:val="00D53B58"/>
    <w:rsid w:val="00D77113"/>
    <w:rsid w:val="00D905B9"/>
    <w:rsid w:val="00DA2382"/>
    <w:rsid w:val="00DE37B3"/>
    <w:rsid w:val="00DF2BB0"/>
    <w:rsid w:val="00DF53F3"/>
    <w:rsid w:val="00E01D78"/>
    <w:rsid w:val="00E02B4D"/>
    <w:rsid w:val="00E03A32"/>
    <w:rsid w:val="00E048F9"/>
    <w:rsid w:val="00E04D32"/>
    <w:rsid w:val="00E13404"/>
    <w:rsid w:val="00E14B0F"/>
    <w:rsid w:val="00E16A58"/>
    <w:rsid w:val="00E227C4"/>
    <w:rsid w:val="00E24A76"/>
    <w:rsid w:val="00E37192"/>
    <w:rsid w:val="00E51EF0"/>
    <w:rsid w:val="00E552F8"/>
    <w:rsid w:val="00E56309"/>
    <w:rsid w:val="00E65059"/>
    <w:rsid w:val="00E73975"/>
    <w:rsid w:val="00E7547A"/>
    <w:rsid w:val="00E77C1A"/>
    <w:rsid w:val="00E77F8D"/>
    <w:rsid w:val="00E867BB"/>
    <w:rsid w:val="00E912DD"/>
    <w:rsid w:val="00EA3505"/>
    <w:rsid w:val="00EA5421"/>
    <w:rsid w:val="00EB31C7"/>
    <w:rsid w:val="00EB7C11"/>
    <w:rsid w:val="00EC312A"/>
    <w:rsid w:val="00EC38BA"/>
    <w:rsid w:val="00ED21E0"/>
    <w:rsid w:val="00ED7170"/>
    <w:rsid w:val="00EE0213"/>
    <w:rsid w:val="00EE6AD0"/>
    <w:rsid w:val="00EE7221"/>
    <w:rsid w:val="00EE789D"/>
    <w:rsid w:val="00EF59A4"/>
    <w:rsid w:val="00F12138"/>
    <w:rsid w:val="00F2760F"/>
    <w:rsid w:val="00F36D96"/>
    <w:rsid w:val="00F37370"/>
    <w:rsid w:val="00F46572"/>
    <w:rsid w:val="00F47499"/>
    <w:rsid w:val="00F52E4A"/>
    <w:rsid w:val="00F65D37"/>
    <w:rsid w:val="00F744AB"/>
    <w:rsid w:val="00F77E22"/>
    <w:rsid w:val="00F908D4"/>
    <w:rsid w:val="00F92AF1"/>
    <w:rsid w:val="00FA365C"/>
    <w:rsid w:val="00FC5FB3"/>
    <w:rsid w:val="00FC606C"/>
    <w:rsid w:val="00FE673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7F"/>
  </w:style>
  <w:style w:type="paragraph" w:styleId="Heading3">
    <w:name w:val="heading 3"/>
    <w:basedOn w:val="Normal"/>
    <w:link w:val="Heading3Char"/>
    <w:uiPriority w:val="9"/>
    <w:qFormat/>
    <w:rsid w:val="00B774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74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4A76"/>
    <w:pPr>
      <w:ind w:left="720"/>
      <w:contextualSpacing/>
    </w:pPr>
  </w:style>
  <w:style w:type="character" w:customStyle="1" w:styleId="ListParagraphChar">
    <w:name w:val="List Paragraph Char"/>
    <w:basedOn w:val="DefaultParagraphFont"/>
    <w:link w:val="ListParagraph"/>
    <w:uiPriority w:val="34"/>
    <w:rsid w:val="006E3805"/>
  </w:style>
  <w:style w:type="table" w:styleId="TableGrid">
    <w:name w:val="Table Grid"/>
    <w:basedOn w:val="TableNormal"/>
    <w:uiPriority w:val="59"/>
    <w:rsid w:val="00BE2D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C312A"/>
    <w:pPr>
      <w:tabs>
        <w:tab w:val="center" w:pos="4513"/>
        <w:tab w:val="right" w:pos="9026"/>
      </w:tabs>
      <w:spacing w:after="0" w:line="240" w:lineRule="auto"/>
    </w:pPr>
    <w:rPr>
      <w:rFonts w:eastAsiaTheme="minorHAnsi"/>
      <w:szCs w:val="20"/>
      <w:lang w:val="en-IN" w:bidi="hi-IN"/>
    </w:rPr>
  </w:style>
  <w:style w:type="character" w:customStyle="1" w:styleId="HeaderChar">
    <w:name w:val="Header Char"/>
    <w:basedOn w:val="DefaultParagraphFont"/>
    <w:link w:val="Header"/>
    <w:uiPriority w:val="99"/>
    <w:rsid w:val="00EC312A"/>
    <w:rPr>
      <w:rFonts w:eastAsiaTheme="minorHAnsi"/>
      <w:szCs w:val="20"/>
      <w:lang w:val="en-IN" w:bidi="hi-IN"/>
    </w:rPr>
  </w:style>
  <w:style w:type="paragraph" w:styleId="Footer">
    <w:name w:val="footer"/>
    <w:basedOn w:val="Normal"/>
    <w:link w:val="FooterChar"/>
    <w:uiPriority w:val="99"/>
    <w:rsid w:val="00916E5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16E56"/>
    <w:rPr>
      <w:rFonts w:ascii="Times New Roman" w:eastAsia="Times New Roman" w:hAnsi="Times New Roman" w:cs="Times New Roman"/>
      <w:sz w:val="24"/>
      <w:szCs w:val="24"/>
    </w:rPr>
  </w:style>
  <w:style w:type="paragraph" w:styleId="NoSpacing">
    <w:name w:val="No Spacing"/>
    <w:qFormat/>
    <w:rsid w:val="001250D4"/>
    <w:pPr>
      <w:spacing w:after="0" w:line="240" w:lineRule="auto"/>
    </w:pPr>
    <w:rPr>
      <w:rFonts w:ascii="Calibri" w:eastAsia="Times New Roman" w:hAnsi="Calibri" w:cs="Mangal"/>
      <w:szCs w:val="20"/>
      <w:lang w:bidi="hi-IN"/>
    </w:rPr>
  </w:style>
  <w:style w:type="character" w:customStyle="1" w:styleId="Heading3Char">
    <w:name w:val="Heading 3 Char"/>
    <w:basedOn w:val="DefaultParagraphFont"/>
    <w:link w:val="Heading3"/>
    <w:uiPriority w:val="9"/>
    <w:rsid w:val="00B7746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746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A6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4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159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1B9F1-1FA9-4959-A184-CE23EB8E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cvo</dc:creator>
  <cp:lastModifiedBy>BADRI  MEHTA</cp:lastModifiedBy>
  <cp:revision>10</cp:revision>
  <cp:lastPrinted>2017-09-01T12:53:00Z</cp:lastPrinted>
  <dcterms:created xsi:type="dcterms:W3CDTF">2017-09-15T05:37:00Z</dcterms:created>
  <dcterms:modified xsi:type="dcterms:W3CDTF">2017-09-15T08:00:00Z</dcterms:modified>
</cp:coreProperties>
</file>